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69" w:rsidRDefault="00220469" w:rsidP="00220469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19275" cy="2381250"/>
            <wp:effectExtent l="0" t="0" r="9525" b="0"/>
            <wp:docPr id="1" name="Рисунок 1" descr="Буйнакский Уллубий Дания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йнакский Уллубий Дания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7C68" w:rsidRPr="00B07C68" w:rsidRDefault="00B07C68" w:rsidP="00B07C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</w:pPr>
      <w:r w:rsidRPr="00B07C68">
        <w:rPr>
          <w:rFonts w:ascii="inherit" w:eastAsia="Times New Roman" w:hAnsi="inherit" w:cs="Helvetica" w:hint="eastAsia"/>
          <w:b/>
          <w:color w:val="222222"/>
          <w:sz w:val="36"/>
          <w:szCs w:val="36"/>
          <w:lang w:eastAsia="ru-RU"/>
        </w:rPr>
        <w:t>Б</w:t>
      </w:r>
      <w:r w:rsidRPr="00B07C68"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  <w:t>иография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    </w:t>
      </w:r>
      <w:proofErr w:type="spellStart"/>
      <w:r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Уллубий</w:t>
      </w:r>
      <w:proofErr w:type="spellEnd"/>
      <w:r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Буйнакский р</w:t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одился в селе </w:t>
      </w:r>
      <w:hyperlink r:id="rId6" w:tooltip="Уллубийаул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Уллу-</w:t>
        </w:r>
        <w:proofErr w:type="spellStart"/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Буйнак</w:t>
        </w:r>
        <w:proofErr w:type="spellEnd"/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в семье потомственного дворянина (сын кадрового военного — подпоручик), по национальности </w:t>
      </w:r>
      <w:hyperlink r:id="rId7" w:tooltip="Кумыки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кумык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 Учился на юридическом факультете </w:t>
      </w:r>
      <w:hyperlink r:id="rId8" w:tooltip="Московский университет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Московского университета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 Член РСДРП с </w:t>
      </w:r>
      <w:hyperlink r:id="rId9" w:tooltip="1916 год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1916 года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 за что был исключен из вуза.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После </w:t>
      </w:r>
      <w:hyperlink r:id="rId10" w:tooltip="Февральская революция 1917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Февральской революции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вёл партийную работу в Хамовническом районе Москвы. В ноябре 1917 возглавил военно-революционный комитет </w:t>
      </w:r>
      <w:hyperlink r:id="rId11" w:tooltip="Петровск-Порт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Петровск-Порта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. С апреля 1918 член Областного Военно-Революционного Комитета, трансформировавшегося в июне в Областной Исполком Советов, где Буйнакский исполнял обязанности заведующего юридическим отделом. В конце июля 1918 г. руководством Облисполкома был откомандирован в Москву откуда вернулся в конце января 1919 г. За этот период советская власть в Дагестане пала под ударами, вторгшегося на его территорию по планам Антанты полковника Л.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Бичерахова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Нелегально прибыл в Дагестан и добрался до высоты Уллу-Тау (под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Кумтор-Калой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) где в подполье функционировало правительство (Облисполком) во главе с Д.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Коркмасовым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, в подавляющем большинстве состоявшее из членов «Дагестанской социалистической группы». В начале февраля была созвана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Кумтор-Калинская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Конференция. Её целью в этих чрезвычайно сложных условиях </w:t>
      </w:r>
      <w:hyperlink r:id="rId12" w:tooltip="Гражданская война в России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гражданской войны в России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, являлось решение вопроса о необходимости, на кануне созыва 8-го съезда РКП(б), в условиях интервенции и гражданской войны, объединения всех партий и групп, стоявших на платформе Советов под единым началом РКП. С этими установками, полученными в центре, и прибыл У. Буйнакский для созыва партийной конференции (упоминается также в источниках и как съезд). На ней был образован Дагестанский Обком, в состав руководящего Президиума которого вошли и члены самораспустившейся «Дагестанской Социалистической группы». Председателем Обкома был избран У. Буйнакский. На этой же конференции, работавший в подполье Обл. Исполком был преобразован в правительственный орган — Военный Совет во главе с Д.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Коркмасовым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 в задачи которого входила организация борьбы с интервенцией.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 это время в </w:t>
      </w:r>
      <w:hyperlink r:id="rId13" w:tooltip="Дагестан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Дагестане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функционировало заседавшее в </w:t>
      </w:r>
      <w:hyperlink r:id="rId14" w:tooltip="Темир-Хан-Шура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Темир-Хан-Шуре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с осени 1918 г. и совершенно непопулярное в народе так называемое Горское правительство. В апреле 1919 г. с севера на территорию Горского правительства вторглись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проантантовские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войска генерала Деникина, устремившиеся на Шуру. </w:t>
      </w:r>
      <w:proofErr w:type="gram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Правительство</w:t>
      </w:r>
      <w:proofErr w:type="gram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переполнявшееся внутренними противоречиями, тем не менее, выступило против агрессора. Однако, это противостояние вражескому вторжению никакого успеха не имело, а после провальных переговоров с Деникиным в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Хасав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-Юрте и, главным образом, измене части членов Правительства, перешедших на сторону врага, стало ясно — дни </w:t>
      </w:r>
      <w:proofErr w:type="gram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его сочтены</w:t>
      </w:r>
      <w:proofErr w:type="gram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и оккупация неизбежна. В этих условиях, будучи полностью отрезанными от центра </w:t>
      </w:r>
      <w:hyperlink r:id="rId15" w:tooltip="РСФСР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РСФСР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, было решено сговориться с членами Горского правительства, ориентированных во имя </w:t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lastRenderedPageBreak/>
        <w:t>Автономии на Москву (Р. Капланов, С. Дударов и др.) и выступить против Деникина единым фронтом. Осуществление этих планов совмещалось с намеченной на май десантной операцией Красного флота, вышедшего к берегам </w:t>
      </w:r>
      <w:hyperlink r:id="rId16" w:tooltip="Дагестан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Дагестана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со стороны Астрахани. В этой связи, на </w:t>
      </w:r>
      <w:hyperlink r:id="rId17" w:tooltip="13 мая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13 мая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</w:t>
      </w:r>
      <w:hyperlink r:id="rId18" w:tooltip="1919 год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1919 года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было назначено заседание Военного Совета и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Даг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. Обкома. Однако, по доносу провокатора, оно было провалено. Благодаря предательству части членов Горского правительства, перешедших на сторону Деникина, в Шуре было посажено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проденикинское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правительство, другая его часть (Р. Капланов и др.), </w:t>
      </w:r>
      <w:proofErr w:type="gram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также</w:t>
      </w:r>
      <w:proofErr w:type="gram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как и члены Военного Совета и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Даг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 Обкома были арестованы.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Избежавшие ареста члены Военного Совета во главе с Д.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Коркмасовым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, восстановив его деятельность на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Левашинских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высотах и сгруппировав свои отряды, поддержанные отрядами Шейха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Уль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-Ислама Али-Гаджи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Акушинского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 повели наступление на Шуру. Однако, две наступательные операции на областную столицу, начатые с Кызыл-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Ярских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высот, в ожесточенных сражениях с хорошо оснащенными и отмобилизованными кадровыми частями противника, потерпели поражение. Войсковая десантная операция, планировавшаяся в поддержку повстанцев с моря, также сорвалась вследствие поражения от английской эскадры в Каспийском море у форта Александров. Арестованные </w:t>
      </w:r>
      <w:hyperlink r:id="rId19" w:tooltip="13 мая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13 мая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члены Военного Совета и 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Даг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 Обкома, включая самого У. Буйнакского, находившиеся под стражей, 10 (</w:t>
      </w:r>
      <w:hyperlink r:id="rId20" w:tooltip="23 июля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23 июля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) были преданы военно-шариатскому суду и по его приговору в августе того же года расстреляны в районе станции 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fldChar w:fldCharType="begin"/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instrText xml:space="preserve"> HYPERLINK "http://ru-wiki.org/wiki/%D0%A2%D0%B5%D0%BC%D0%B8%D1%80%D0%B3%D0%BE%D0%B5_(%D1%81%D1%82%D0%B0%D0%BD%D1%86%D0%B8%D1%8F)" \o "</w:instrText>
      </w:r>
      <w:r w:rsidRPr="00B07C68">
        <w:rPr>
          <w:rFonts w:ascii="inherit" w:eastAsia="Times New Roman" w:hAnsi="inherit" w:cs="Helvetica" w:hint="eastAsia"/>
          <w:color w:val="222222"/>
          <w:sz w:val="24"/>
          <w:szCs w:val="24"/>
          <w:lang w:eastAsia="ru-RU"/>
        </w:rPr>
        <w:instrText>Темиргое</w:instrText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instrText xml:space="preserve"> (</w:instrText>
      </w:r>
      <w:r w:rsidRPr="00B07C68">
        <w:rPr>
          <w:rFonts w:ascii="inherit" w:eastAsia="Times New Roman" w:hAnsi="inherit" w:cs="Helvetica" w:hint="eastAsia"/>
          <w:color w:val="222222"/>
          <w:sz w:val="24"/>
          <w:szCs w:val="24"/>
          <w:lang w:eastAsia="ru-RU"/>
        </w:rPr>
        <w:instrText>станция</w:instrText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instrText xml:space="preserve">)" </w:instrText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fldChar w:fldCharType="separate"/>
      </w:r>
      <w:r w:rsidRPr="00B07C68">
        <w:rPr>
          <w:rFonts w:ascii="inherit" w:eastAsia="Times New Roman" w:hAnsi="inherit" w:cs="Helvetica"/>
          <w:color w:val="5A3696"/>
          <w:sz w:val="24"/>
          <w:szCs w:val="24"/>
          <w:u w:val="single"/>
          <w:bdr w:val="none" w:sz="0" w:space="0" w:color="auto" w:frame="1"/>
          <w:lang w:eastAsia="ru-RU"/>
        </w:rPr>
        <w:t>Темиргое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fldChar w:fldCharType="end"/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</w:p>
    <w:p w:rsidR="00B07C68" w:rsidRPr="00B07C68" w:rsidRDefault="00B07C68" w:rsidP="00B07C68">
      <w:pPr>
        <w:pBdr>
          <w:bottom w:val="single" w:sz="6" w:space="6" w:color="EAECF0"/>
        </w:pBdr>
        <w:shd w:val="clear" w:color="auto" w:fill="FFFFFF"/>
        <w:spacing w:after="0" w:line="240" w:lineRule="auto"/>
        <w:jc w:val="left"/>
        <w:textAlignment w:val="baseline"/>
        <w:outlineLvl w:val="1"/>
        <w:rPr>
          <w:rFonts w:ascii="Georgia" w:eastAsia="Times New Roman" w:hAnsi="Georgia" w:cs="Times New Roman"/>
          <w:b/>
          <w:bCs/>
          <w:color w:val="222222"/>
          <w:sz w:val="36"/>
          <w:szCs w:val="36"/>
          <w:lang w:eastAsia="ru-RU"/>
        </w:rPr>
      </w:pPr>
      <w:r w:rsidRPr="00B07C68">
        <w:rPr>
          <w:rFonts w:ascii="inherit" w:eastAsia="Times New Roman" w:hAnsi="inherit" w:cs="Times New Roman"/>
          <w:b/>
          <w:bCs/>
          <w:color w:val="222222"/>
          <w:sz w:val="36"/>
          <w:szCs w:val="36"/>
          <w:bdr w:val="none" w:sz="0" w:space="0" w:color="auto" w:frame="1"/>
          <w:lang w:eastAsia="ru-RU"/>
        </w:rPr>
        <w:t>Память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Улица Буйнакского (вариант Буйнакская) — название улиц во многих населенных пунктах Дагестана, а также в </w:t>
      </w:r>
      <w:hyperlink r:id="rId21" w:tooltip="Астрахань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Астрахани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 </w:t>
      </w:r>
      <w:hyperlink r:id="rId22" w:tooltip="Ростов-на-Дону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Ростове-на-Дону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 </w:t>
      </w:r>
      <w:hyperlink r:id="rId23" w:tooltip="Ставрополь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Ставрополе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 </w:t>
      </w:r>
      <w:hyperlink r:id="rId24" w:tooltip="Грозный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Грозном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, ст. </w:t>
      </w:r>
      <w:hyperlink r:id="rId25" w:tooltip="Червленная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Червленной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</w:t>
      </w:r>
      <w:hyperlink r:id="rId26" w:tooltip="Чечня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Чечня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), с. </w:t>
      </w:r>
      <w:hyperlink r:id="rId27" w:tooltip="Кизляр (Северная Осетия)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Кизляр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(Северная Осетия), п. </w:t>
      </w:r>
      <w:hyperlink r:id="rId28" w:tooltip="Ачикулак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Ачикулак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(Ставропольский край).</w:t>
      </w:r>
    </w:p>
    <w:p w:rsidR="00B07C68" w:rsidRPr="00B07C68" w:rsidRDefault="00B07C68" w:rsidP="00B07C68">
      <w:pPr>
        <w:shd w:val="clear" w:color="auto" w:fill="FFFFFF"/>
        <w:spacing w:after="0" w:line="240" w:lineRule="auto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 честь Буйнакского в 1921 город </w:t>
      </w:r>
      <w:hyperlink r:id="rId29" w:tooltip="Буйнакск" w:history="1">
        <w:r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Темир-Хан-Шура</w:t>
        </w:r>
      </w:hyperlink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столица Дагестанской Республики была переименована в Буйнакск. </w:t>
      </w:r>
      <w:proofErr w:type="gram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Кроме того</w:t>
      </w:r>
      <w:proofErr w:type="gram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:</w:t>
      </w:r>
    </w:p>
    <w:p w:rsidR="00B07C68" w:rsidRPr="00B07C68" w:rsidRDefault="00220469" w:rsidP="00B07C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0" w:tooltip="Уллубийаул" w:history="1">
        <w:proofErr w:type="spellStart"/>
        <w:r w:rsidR="00B07C68"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Уллубийаул</w:t>
        </w:r>
        <w:proofErr w:type="spellEnd"/>
      </w:hyperlink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(быв. </w:t>
      </w:r>
      <w:proofErr w:type="spellStart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Бойнак</w:t>
      </w:r>
      <w:proofErr w:type="spellEnd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) — село </w:t>
      </w:r>
      <w:proofErr w:type="spellStart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Карабудахкентског</w:t>
      </w:r>
      <w:proofErr w:type="spellEnd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района Республики Дагестан — родина </w:t>
      </w:r>
      <w:proofErr w:type="spellStart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Уллубия</w:t>
      </w:r>
      <w:proofErr w:type="spellEnd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Буйнакского</w:t>
      </w:r>
    </w:p>
    <w:p w:rsidR="00B07C68" w:rsidRPr="00B07C68" w:rsidRDefault="00220469" w:rsidP="00B07C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1" w:tooltip="Уллубиевка" w:history="1">
        <w:proofErr w:type="spellStart"/>
        <w:r w:rsidR="00B07C68"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Уллубиевка</w:t>
        </w:r>
        <w:proofErr w:type="spellEnd"/>
      </w:hyperlink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(быв. Новопокровка) — село </w:t>
      </w:r>
      <w:proofErr w:type="spellStart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Кумторкалинского</w:t>
      </w:r>
      <w:proofErr w:type="spellEnd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района Республики Дагестан</w:t>
      </w:r>
    </w:p>
    <w:p w:rsidR="00B07C68" w:rsidRPr="00B07C68" w:rsidRDefault="00220469" w:rsidP="00B07C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2" w:tooltip="Уллуби-Юрт" w:history="1">
        <w:proofErr w:type="spellStart"/>
        <w:r w:rsidR="00B07C68"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Уллуби</w:t>
        </w:r>
        <w:proofErr w:type="spellEnd"/>
        <w:r w:rsidR="00B07C68" w:rsidRPr="00B07C68">
          <w:rPr>
            <w:rFonts w:ascii="inherit" w:eastAsia="Times New Roman" w:hAnsi="inherit" w:cs="Helvetica"/>
            <w:color w:val="5A3696"/>
            <w:sz w:val="24"/>
            <w:szCs w:val="24"/>
            <w:u w:val="single"/>
            <w:bdr w:val="none" w:sz="0" w:space="0" w:color="auto" w:frame="1"/>
            <w:lang w:eastAsia="ru-RU"/>
          </w:rPr>
          <w:t>-Юрт</w:t>
        </w:r>
      </w:hyperlink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 (быв. Новый </w:t>
      </w:r>
      <w:proofErr w:type="spellStart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Джелал</w:t>
      </w:r>
      <w:proofErr w:type="spellEnd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) — село </w:t>
      </w:r>
      <w:proofErr w:type="spellStart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Нефтекумского</w:t>
      </w:r>
      <w:proofErr w:type="spellEnd"/>
      <w:r w:rsidR="00B07C68"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района Ставропольского края</w:t>
      </w:r>
    </w:p>
    <w:p w:rsidR="00B07C68" w:rsidRDefault="00B07C68" w:rsidP="00B07C68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0"/>
        <w:jc w:val="left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Уллубий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— с 1944 по 1957 г. название села </w:t>
      </w:r>
      <w:proofErr w:type="spellStart"/>
      <w:r w:rsidR="00220469">
        <w:fldChar w:fldCharType="begin"/>
      </w:r>
      <w:r w:rsidR="00220469">
        <w:instrText xml:space="preserve"> HYPERLINK "http://ru-wiki.org/wiki/%D0%A7%D1%83%D1%80%D1%87-%D0%98%D1%80%D0%B7%D1%83" \o "Чурч-Ирзу" </w:instrText>
      </w:r>
      <w:r w:rsidR="00220469">
        <w:fldChar w:fldCharType="separate"/>
      </w:r>
      <w:r w:rsidRPr="00B07C68">
        <w:rPr>
          <w:rFonts w:ascii="inherit" w:eastAsia="Times New Roman" w:hAnsi="inherit" w:cs="Helvetica"/>
          <w:color w:val="5A3696"/>
          <w:sz w:val="24"/>
          <w:szCs w:val="24"/>
          <w:u w:val="single"/>
          <w:bdr w:val="none" w:sz="0" w:space="0" w:color="auto" w:frame="1"/>
          <w:lang w:eastAsia="ru-RU"/>
        </w:rPr>
        <w:t>Чурч-Ирзу</w:t>
      </w:r>
      <w:proofErr w:type="spellEnd"/>
      <w:r w:rsidR="00220469">
        <w:rPr>
          <w:rFonts w:ascii="inherit" w:eastAsia="Times New Roman" w:hAnsi="inherit" w:cs="Helvetica"/>
          <w:color w:val="5A3696"/>
          <w:sz w:val="24"/>
          <w:szCs w:val="24"/>
          <w:u w:val="single"/>
          <w:bdr w:val="none" w:sz="0" w:space="0" w:color="auto" w:frame="1"/>
          <w:lang w:eastAsia="ru-RU"/>
        </w:rPr>
        <w:fldChar w:fldCharType="end"/>
      </w:r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</w:t>
      </w:r>
      <w:proofErr w:type="spellStart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Ножайюртовского</w:t>
      </w:r>
      <w:proofErr w:type="spellEnd"/>
      <w:r w:rsidRPr="00B07C68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района Чечни.</w:t>
      </w:r>
    </w:p>
    <w:p w:rsidR="00B07C68" w:rsidRPr="00B07C68" w:rsidRDefault="00B07C68" w:rsidP="00B07C68">
      <w:pPr>
        <w:numPr>
          <w:ilvl w:val="0"/>
          <w:numId w:val="1"/>
        </w:numPr>
        <w:shd w:val="clear" w:color="auto" w:fill="FFFFFF"/>
        <w:spacing w:after="0" w:afterAutospacing="1" w:line="240" w:lineRule="auto"/>
        <w:ind w:left="0"/>
        <w:jc w:val="left"/>
        <w:textAlignment w:val="baseline"/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</w:pPr>
      <w:r w:rsidRPr="00B07C68"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  <w:t xml:space="preserve">Также в честь </w:t>
      </w:r>
      <w:proofErr w:type="spellStart"/>
      <w:r w:rsidRPr="00B07C68"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  <w:t>Уллубия</w:t>
      </w:r>
      <w:proofErr w:type="spellEnd"/>
      <w:r w:rsidRPr="00B07C68">
        <w:rPr>
          <w:rFonts w:ascii="inherit" w:eastAsia="Times New Roman" w:hAnsi="inherit" w:cs="Helvetica"/>
          <w:b/>
          <w:color w:val="222222"/>
          <w:sz w:val="36"/>
          <w:szCs w:val="36"/>
          <w:lang w:eastAsia="ru-RU"/>
        </w:rPr>
        <w:t xml:space="preserve"> Буйнакского названа наша школа. </w:t>
      </w:r>
    </w:p>
    <w:p w:rsidR="00E565D6" w:rsidRDefault="00220469"/>
    <w:sectPr w:rsidR="00E565D6" w:rsidSect="00220469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A43DE"/>
    <w:multiLevelType w:val="multilevel"/>
    <w:tmpl w:val="B112A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3A"/>
    <w:rsid w:val="001B353A"/>
    <w:rsid w:val="00220469"/>
    <w:rsid w:val="00247849"/>
    <w:rsid w:val="004C6838"/>
    <w:rsid w:val="006935DE"/>
    <w:rsid w:val="00992057"/>
    <w:rsid w:val="00B07C68"/>
    <w:rsid w:val="00B3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A948D-2079-4CEC-9A46-EA83353C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C6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7C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C68"/>
  </w:style>
  <w:style w:type="character" w:styleId="a4">
    <w:name w:val="Hyperlink"/>
    <w:basedOn w:val="a0"/>
    <w:uiPriority w:val="99"/>
    <w:semiHidden/>
    <w:unhideWhenUsed/>
    <w:rsid w:val="00B07C68"/>
    <w:rPr>
      <w:color w:val="0000FF"/>
      <w:u w:val="single"/>
    </w:rPr>
  </w:style>
  <w:style w:type="character" w:customStyle="1" w:styleId="mw-headline">
    <w:name w:val="mw-headline"/>
    <w:basedOn w:val="a0"/>
    <w:rsid w:val="00B0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-wiki.org/wiki/%D0%9C%D0%BE%D1%81%D0%BA%D0%BE%D0%B2%D1%81%D0%BA%D0%B8%D0%B9_%D1%83%D0%BD%D0%B8%D0%B2%D0%B5%D1%80%D1%81%D0%B8%D1%82%D0%B5%D1%82" TargetMode="External"/><Relationship Id="rId13" Type="http://schemas.openxmlformats.org/officeDocument/2006/relationships/hyperlink" Target="http://ru-wiki.org/wiki/%D0%94%D0%B0%D0%B3%D0%B5%D1%81%D1%82%D0%B0%D0%BD" TargetMode="External"/><Relationship Id="rId18" Type="http://schemas.openxmlformats.org/officeDocument/2006/relationships/hyperlink" Target="http://ru-wiki.org/wiki/1919_%D0%B3%D0%BE%D0%B4" TargetMode="External"/><Relationship Id="rId26" Type="http://schemas.openxmlformats.org/officeDocument/2006/relationships/hyperlink" Target="http://ru-wiki.org/wiki/%D0%A7%D0%B5%D1%87%D0%BD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-wiki.org/wiki/%D0%90%D1%81%D1%82%D1%80%D0%B0%D1%85%D0%B0%D0%BD%D1%8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ru-wiki.org/wiki/%D0%9A%D1%83%D0%BC%D1%8B%D0%BA%D0%B8" TargetMode="External"/><Relationship Id="rId12" Type="http://schemas.openxmlformats.org/officeDocument/2006/relationships/hyperlink" Target="http://ru-wiki.org/wiki/%D0%93%D1%80%D0%B0%D0%B6%D0%B4%D0%B0%D0%BD%D1%81%D0%BA%D0%B0%D1%8F_%D0%B2%D0%BE%D0%B9%D0%BD%D0%B0_%D0%B2_%D0%A0%D0%BE%D1%81%D1%81%D0%B8%D0%B8" TargetMode="External"/><Relationship Id="rId17" Type="http://schemas.openxmlformats.org/officeDocument/2006/relationships/hyperlink" Target="http://ru-wiki.org/wiki/13_%D0%BC%D0%B0%D1%8F" TargetMode="External"/><Relationship Id="rId25" Type="http://schemas.openxmlformats.org/officeDocument/2006/relationships/hyperlink" Target="http://ru-wiki.org/wiki/%D0%A7%D0%B5%D1%80%D0%B2%D0%BB%D0%B5%D0%BD%D0%BD%D0%B0%D1%8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-wiki.org/wiki/%D0%94%D0%B0%D0%B3%D0%B5%D1%81%D1%82%D0%B0%D0%BD" TargetMode="External"/><Relationship Id="rId20" Type="http://schemas.openxmlformats.org/officeDocument/2006/relationships/hyperlink" Target="http://ru-wiki.org/wiki/23_%D0%B8%D1%8E%D0%BB%D1%8F" TargetMode="External"/><Relationship Id="rId29" Type="http://schemas.openxmlformats.org/officeDocument/2006/relationships/hyperlink" Target="http://ru-wiki.org/wiki/%D0%91%D1%83%D0%B9%D0%BD%D0%B0%D0%BA%D1%81%D0%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-wiki.org/wiki/%D0%A3%D0%BB%D0%BB%D1%83%D0%B1%D0%B8%D0%B9%D0%B0%D1%83%D0%BB" TargetMode="External"/><Relationship Id="rId11" Type="http://schemas.openxmlformats.org/officeDocument/2006/relationships/hyperlink" Target="http://ru-wiki.org/wiki/%D0%9F%D0%B5%D1%82%D1%80%D0%BE%D0%B2%D1%81%D0%BA-%D0%9F%D0%BE%D1%80%D1%82" TargetMode="External"/><Relationship Id="rId24" Type="http://schemas.openxmlformats.org/officeDocument/2006/relationships/hyperlink" Target="http://ru-wiki.org/wiki/%D0%93%D1%80%D0%BE%D0%B7%D0%BD%D1%8B%D0%B9" TargetMode="External"/><Relationship Id="rId32" Type="http://schemas.openxmlformats.org/officeDocument/2006/relationships/hyperlink" Target="http://ru-wiki.org/wiki/%D0%A3%D0%BB%D0%BB%D1%83%D0%B1%D0%B8-%D0%AE%D1%80%D1%8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ru-wiki.org/wiki/%D0%A0%D0%A1%D0%A4%D0%A1%D0%A0" TargetMode="External"/><Relationship Id="rId23" Type="http://schemas.openxmlformats.org/officeDocument/2006/relationships/hyperlink" Target="http://ru-wiki.org/wiki/%D0%A1%D1%82%D0%B0%D0%B2%D1%80%D0%BE%D0%BF%D0%BE%D0%BB%D1%8C" TargetMode="External"/><Relationship Id="rId28" Type="http://schemas.openxmlformats.org/officeDocument/2006/relationships/hyperlink" Target="http://ru-wiki.org/wiki/%D0%90%D1%87%D0%B8%D0%BA%D1%83%D0%BB%D0%B0%D0%BA" TargetMode="External"/><Relationship Id="rId10" Type="http://schemas.openxmlformats.org/officeDocument/2006/relationships/hyperlink" Target="http://ru-wiki.org/wiki/%D0%A4%D0%B5%D0%B2%D1%80%D0%B0%D0%BB%D1%8C%D1%81%D0%BA%D0%B0%D1%8F_%D1%80%D0%B5%D0%B2%D0%BE%D0%BB%D1%8E%D1%86%D0%B8%D1%8F_1917" TargetMode="External"/><Relationship Id="rId19" Type="http://schemas.openxmlformats.org/officeDocument/2006/relationships/hyperlink" Target="http://ru-wiki.org/wiki/13_%D0%BC%D0%B0%D1%8F" TargetMode="External"/><Relationship Id="rId31" Type="http://schemas.openxmlformats.org/officeDocument/2006/relationships/hyperlink" Target="http://ru-wiki.org/wiki/%D0%A3%D0%BB%D0%BB%D1%83%D0%B1%D0%B8%D0%B5%D0%B2%D0%BA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-wiki.org/wiki/1916_%D0%B3%D0%BE%D0%B4" TargetMode="External"/><Relationship Id="rId14" Type="http://schemas.openxmlformats.org/officeDocument/2006/relationships/hyperlink" Target="http://ru-wiki.org/wiki/%D0%A2%D0%B5%D0%BC%D0%B8%D1%80-%D0%A5%D0%B0%D0%BD-%D0%A8%D1%83%D1%80%D0%B0" TargetMode="External"/><Relationship Id="rId22" Type="http://schemas.openxmlformats.org/officeDocument/2006/relationships/hyperlink" Target="http://ru-wiki.org/wiki/%D0%A0%D0%BE%D1%81%D1%82%D0%BE%D0%B2-%D0%BD%D0%B0-%D0%94%D0%BE%D0%BD%D1%83" TargetMode="External"/><Relationship Id="rId27" Type="http://schemas.openxmlformats.org/officeDocument/2006/relationships/hyperlink" Target="http://ru-wiki.org/wiki/%D0%9A%D0%B8%D0%B7%D0%BB%D1%8F%D1%80_(%D0%A1%D0%B5%D0%B2%D0%B5%D1%80%D0%BD%D0%B0%D1%8F_%D0%9E%D1%81%D0%B5%D1%82%D0%B8%D1%8F)" TargetMode="External"/><Relationship Id="rId30" Type="http://schemas.openxmlformats.org/officeDocument/2006/relationships/hyperlink" Target="http://ru-wiki.org/wiki/%D0%A3%D0%BB%D0%BB%D1%83%D0%B1%D0%B8%D0%B9%D0%B0%D1%83%D0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1269</Words>
  <Characters>7239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8</dc:creator>
  <cp:keywords/>
  <dc:description/>
  <cp:lastModifiedBy>школа 8</cp:lastModifiedBy>
  <cp:revision>4</cp:revision>
  <dcterms:created xsi:type="dcterms:W3CDTF">2017-12-07T11:19:00Z</dcterms:created>
  <dcterms:modified xsi:type="dcterms:W3CDTF">2017-12-07T11:23:00Z</dcterms:modified>
</cp:coreProperties>
</file>